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D8D" w:rsidRDefault="00015C3D">
      <w:pPr>
        <w:spacing w:after="150"/>
      </w:pPr>
      <w:bookmarkStart w:id="0" w:name="_GoBack"/>
      <w:bookmarkEnd w:id="0"/>
      <w:r>
        <w:rPr>
          <w:color w:val="000000"/>
        </w:rPr>
        <w:t xml:space="preserve">Преузето са </w:t>
      </w:r>
      <w:hyperlink r:id="rId4">
        <w:r>
          <w:rPr>
            <w:rStyle w:val="Hyperlink"/>
            <w:color w:val="337AB7"/>
          </w:rPr>
          <w:t>www.pravno-informacioni-sistem.rs</w:t>
        </w:r>
      </w:hyperlink>
    </w:p>
    <w:p w:rsidR="003B0D8D" w:rsidRDefault="00015C3D">
      <w:pPr>
        <w:spacing w:after="150"/>
      </w:pPr>
      <w:r>
        <w:rPr>
          <w:color w:val="000000"/>
        </w:rPr>
        <w:t xml:space="preserve">На основу члана 26. став 3. Закона о туризму („Службени гласник РС”, број 17/19) и чланa 17. став 4. и чланa 24. став 2. Закона о Влади („Службени </w:t>
      </w:r>
      <w:r>
        <w:rPr>
          <w:color w:val="000000"/>
        </w:rPr>
        <w:t>гласник РС”, бр. 55/05, 71/05 – исправка, 101/07, 65/08, 16/11, 68/12 – УС, 72/12, 7/14 – УС, 44/14 и 30/18 – др. закон),</w:t>
      </w:r>
    </w:p>
    <w:p w:rsidR="003B0D8D" w:rsidRDefault="00015C3D">
      <w:pPr>
        <w:spacing w:after="150"/>
      </w:pPr>
      <w:r>
        <w:rPr>
          <w:color w:val="000000"/>
        </w:rPr>
        <w:t>Министар трговине, туризма и телекомуникација доноси</w:t>
      </w:r>
    </w:p>
    <w:p w:rsidR="003B0D8D" w:rsidRDefault="00015C3D">
      <w:pPr>
        <w:spacing w:after="225"/>
        <w:jc w:val="center"/>
      </w:pPr>
      <w:r>
        <w:rPr>
          <w:b/>
          <w:color w:val="000000"/>
        </w:rPr>
        <w:t>ПРАВИЛНИК</w:t>
      </w:r>
    </w:p>
    <w:p w:rsidR="003B0D8D" w:rsidRDefault="00015C3D">
      <w:pPr>
        <w:spacing w:after="225"/>
        <w:jc w:val="center"/>
      </w:pPr>
      <w:r>
        <w:rPr>
          <w:b/>
          <w:color w:val="000000"/>
        </w:rPr>
        <w:t>о категоризацији туристичких места</w:t>
      </w:r>
    </w:p>
    <w:p w:rsidR="003B0D8D" w:rsidRDefault="00015C3D">
      <w:pPr>
        <w:spacing w:after="120"/>
        <w:jc w:val="center"/>
      </w:pPr>
      <w:r>
        <w:rPr>
          <w:color w:val="000000"/>
        </w:rPr>
        <w:t>„Службени гласник РС“, број 41 од 25</w:t>
      </w:r>
      <w:r>
        <w:rPr>
          <w:color w:val="000000"/>
        </w:rPr>
        <w:t>. марта 2022.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1.</w:t>
      </w:r>
    </w:p>
    <w:p w:rsidR="003B0D8D" w:rsidRDefault="00015C3D">
      <w:pPr>
        <w:spacing w:after="150"/>
      </w:pPr>
      <w:r>
        <w:rPr>
          <w:color w:val="000000"/>
        </w:rPr>
        <w:t>Овим правилником прописују се ближи услови за одређивање категорије туристичког места, начин одређивања и промене категорије, као и врсте података о туристичким местима који се евидентирају у Регистру туризма.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2.</w:t>
      </w:r>
    </w:p>
    <w:p w:rsidR="003B0D8D" w:rsidRDefault="00015C3D">
      <w:pPr>
        <w:spacing w:after="150"/>
      </w:pPr>
      <w:r>
        <w:rPr>
          <w:color w:val="000000"/>
        </w:rPr>
        <w:t>Разврставање тур</w:t>
      </w:r>
      <w:r>
        <w:rPr>
          <w:color w:val="000000"/>
        </w:rPr>
        <w:t>истичких места у категорије врши се на основу квантитативних и квалитативних критеријума.</w:t>
      </w:r>
    </w:p>
    <w:p w:rsidR="003B0D8D" w:rsidRDefault="00015C3D">
      <w:pPr>
        <w:spacing w:after="150"/>
      </w:pPr>
      <w:r>
        <w:rPr>
          <w:color w:val="000000"/>
        </w:rPr>
        <w:t>Квантитативни критеријуми процењују се на основу расположивих података обима туристичког промета у последње три године које претходе години у којој се врши одређивање</w:t>
      </w:r>
      <w:r>
        <w:rPr>
          <w:color w:val="000000"/>
        </w:rPr>
        <w:t xml:space="preserve"> категорије туристичког места.</w:t>
      </w:r>
    </w:p>
    <w:p w:rsidR="003B0D8D" w:rsidRDefault="00015C3D">
      <w:pPr>
        <w:spacing w:after="150"/>
      </w:pPr>
      <w:r>
        <w:rPr>
          <w:color w:val="000000"/>
        </w:rPr>
        <w:t>Квалитативни критеријуми процењују се на основу степена изграђености комуналне, саобраћајне и туристичке инфраструктуре као и туристичке супраструктуре подручја које се разврстава у категорију туристичког места (у даљем текст</w:t>
      </w:r>
      <w:r>
        <w:rPr>
          <w:color w:val="000000"/>
        </w:rPr>
        <w:t>у: подручје).</w:t>
      </w:r>
    </w:p>
    <w:p w:rsidR="003B0D8D" w:rsidRDefault="00015C3D">
      <w:pPr>
        <w:spacing w:after="120"/>
        <w:jc w:val="center"/>
      </w:pPr>
      <w:r>
        <w:rPr>
          <w:b/>
          <w:color w:val="000000"/>
        </w:rPr>
        <w:t>Обим туристичког промета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3.</w:t>
      </w:r>
    </w:p>
    <w:p w:rsidR="003B0D8D" w:rsidRDefault="00015C3D">
      <w:pPr>
        <w:spacing w:after="150"/>
      </w:pPr>
      <w:r>
        <w:rPr>
          <w:color w:val="000000"/>
        </w:rPr>
        <w:t>Процена обима туристичког промета подручја одређује се на основу:</w:t>
      </w:r>
    </w:p>
    <w:p w:rsidR="003B0D8D" w:rsidRDefault="00015C3D">
      <w:pPr>
        <w:spacing w:after="150"/>
      </w:pPr>
      <w:r>
        <w:rPr>
          <w:color w:val="000000"/>
        </w:rPr>
        <w:t>1) регистрованог броја доласка туриста;</w:t>
      </w:r>
    </w:p>
    <w:p w:rsidR="003B0D8D" w:rsidRDefault="00015C3D">
      <w:pPr>
        <w:spacing w:after="150"/>
      </w:pPr>
      <w:r>
        <w:rPr>
          <w:color w:val="000000"/>
        </w:rPr>
        <w:t>2) регистрованог броја ноћења туриста у угоститељским објектима за смештај;</w:t>
      </w:r>
    </w:p>
    <w:p w:rsidR="003B0D8D" w:rsidRDefault="00015C3D">
      <w:pPr>
        <w:spacing w:after="150"/>
      </w:pPr>
      <w:r>
        <w:rPr>
          <w:color w:val="000000"/>
        </w:rPr>
        <w:t>3) укупног броја ноћења тур</w:t>
      </w:r>
      <w:r>
        <w:rPr>
          <w:color w:val="000000"/>
        </w:rPr>
        <w:t>иста у угоститељским објектима за смештај у току године у односу на број становника подручја.</w:t>
      </w:r>
    </w:p>
    <w:p w:rsidR="003B0D8D" w:rsidRDefault="00015C3D">
      <w:pPr>
        <w:spacing w:after="150"/>
      </w:pPr>
      <w:r>
        <w:rPr>
          <w:color w:val="000000"/>
        </w:rPr>
        <w:t xml:space="preserve">Процена обима туристичког промета из става 1. овог члана врши се на основу званичних података Републичког завода за статистику, сабирањем расположивих података о </w:t>
      </w:r>
      <w:r>
        <w:rPr>
          <w:color w:val="000000"/>
        </w:rPr>
        <w:t>туристичком промету и дељењем са бројем година које су обухваћене статистичким извештајем.</w:t>
      </w:r>
    </w:p>
    <w:p w:rsidR="003B0D8D" w:rsidRDefault="00015C3D">
      <w:pPr>
        <w:spacing w:after="150"/>
      </w:pPr>
      <w:r>
        <w:rPr>
          <w:color w:val="000000"/>
        </w:rPr>
        <w:lastRenderedPageBreak/>
        <w:t xml:space="preserve">Процена обима туристичког промета из става 1. овог члана врши се и на основу података из централног </w:t>
      </w:r>
      <w:r>
        <w:rPr>
          <w:i/>
          <w:color w:val="000000"/>
        </w:rPr>
        <w:t>информационог система </w:t>
      </w:r>
      <w:r>
        <w:rPr>
          <w:color w:val="000000"/>
        </w:rPr>
        <w:t>у области угоститељства и туризма (Е-турист</w:t>
      </w:r>
      <w:r>
        <w:rPr>
          <w:color w:val="000000"/>
        </w:rPr>
        <w:t>а).</w:t>
      </w:r>
    </w:p>
    <w:p w:rsidR="003B0D8D" w:rsidRDefault="00015C3D">
      <w:pPr>
        <w:spacing w:after="150"/>
      </w:pPr>
      <w:r>
        <w:rPr>
          <w:color w:val="000000"/>
        </w:rPr>
        <w:t>Број становника подручја из става 1. тачка 3. овог члана утврђује се према последњем попису становништва.</w:t>
      </w:r>
    </w:p>
    <w:p w:rsidR="003B0D8D" w:rsidRDefault="00015C3D">
      <w:pPr>
        <w:spacing w:after="150"/>
      </w:pPr>
      <w:r>
        <w:rPr>
          <w:color w:val="000000"/>
        </w:rPr>
        <w:t>Процена обима туристичког промета врши се према вредностима наведеним у Табели број 1 – Обим туристичког промета, која је одштампана уз овај прави</w:t>
      </w:r>
      <w:r>
        <w:rPr>
          <w:color w:val="000000"/>
        </w:rPr>
        <w:t>лник и чини његов саставни део.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4.</w:t>
      </w:r>
    </w:p>
    <w:p w:rsidR="003B0D8D" w:rsidRDefault="00015C3D">
      <w:pPr>
        <w:spacing w:after="150"/>
      </w:pPr>
      <w:r>
        <w:rPr>
          <w:color w:val="000000"/>
        </w:rPr>
        <w:t>На основу квантитативних критеријума подручје се разврстава на следећи начин:</w:t>
      </w:r>
    </w:p>
    <w:p w:rsidR="003B0D8D" w:rsidRDefault="00015C3D">
      <w:pPr>
        <w:spacing w:after="150"/>
      </w:pPr>
      <w:r>
        <w:rPr>
          <w:color w:val="000000"/>
        </w:rPr>
        <w:t>1) у групу I ако вредност туристичког промета износи од 12 до 15 бодова;</w:t>
      </w:r>
    </w:p>
    <w:p w:rsidR="003B0D8D" w:rsidRDefault="00015C3D">
      <w:pPr>
        <w:spacing w:after="150"/>
      </w:pPr>
      <w:r>
        <w:rPr>
          <w:color w:val="000000"/>
        </w:rPr>
        <w:t xml:space="preserve">2) у групу II ако вредност туристичког промета износи од 9 до 11 </w:t>
      </w:r>
      <w:r>
        <w:rPr>
          <w:color w:val="000000"/>
        </w:rPr>
        <w:t>бодова;</w:t>
      </w:r>
    </w:p>
    <w:p w:rsidR="003B0D8D" w:rsidRDefault="00015C3D">
      <w:pPr>
        <w:spacing w:after="150"/>
      </w:pPr>
      <w:r>
        <w:rPr>
          <w:color w:val="000000"/>
        </w:rPr>
        <w:t>3) у групу III ако вредност туристичког промета износи од 5 до 8 бодова;</w:t>
      </w:r>
    </w:p>
    <w:p w:rsidR="003B0D8D" w:rsidRDefault="00015C3D">
      <w:pPr>
        <w:spacing w:after="150"/>
      </w:pPr>
      <w:r>
        <w:rPr>
          <w:color w:val="000000"/>
        </w:rPr>
        <w:t>4) у групу IV ако вредност туристичког промета износи од 1 до 4 бода.</w:t>
      </w:r>
    </w:p>
    <w:p w:rsidR="003B0D8D" w:rsidRDefault="00015C3D">
      <w:pPr>
        <w:spacing w:after="120"/>
        <w:jc w:val="center"/>
      </w:pPr>
      <w:r>
        <w:rPr>
          <w:b/>
          <w:color w:val="000000"/>
        </w:rPr>
        <w:t>Комунална инфраструктура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5.</w:t>
      </w:r>
    </w:p>
    <w:p w:rsidR="003B0D8D" w:rsidRDefault="00015C3D">
      <w:pPr>
        <w:spacing w:after="150"/>
      </w:pPr>
      <w:r>
        <w:rPr>
          <w:color w:val="000000"/>
        </w:rPr>
        <w:t xml:space="preserve">Процена степена изграђености комуналне инфраструктуре врши се на основу </w:t>
      </w:r>
      <w:r>
        <w:rPr>
          <w:color w:val="000000"/>
        </w:rPr>
        <w:t>следећих критеријума: водоводна мрежа (јавна водоводна мрежа спроведена на подручју целог места или обезбеђено снабдевање хигијенски исправном водом у довољној количини); канализациона мрежа (јавна канализациона мрежа са уређајем за пречишћавање отпадних в</w:t>
      </w:r>
      <w:r>
        <w:rPr>
          <w:color w:val="000000"/>
        </w:rPr>
        <w:t>ода или организовано редовно пражњење септичких јама); електрична мрежа (електрична мрежа на подручју целог места, јавна расвета); телекомуникације (успостављена фиксна телефонија, покривеност сигналима мрежа мобилне телефоније на целокупном подручју, покр</w:t>
      </w:r>
      <w:r>
        <w:rPr>
          <w:color w:val="000000"/>
        </w:rPr>
        <w:t>ивеност прикључцима за интернет); услуге уклањања отпада (уклањање чврстих отпадних материја, организован одвоз смећа).</w:t>
      </w:r>
    </w:p>
    <w:p w:rsidR="003B0D8D" w:rsidRDefault="00015C3D">
      <w:pPr>
        <w:spacing w:after="150"/>
      </w:pPr>
      <w:r>
        <w:rPr>
          <w:color w:val="000000"/>
        </w:rPr>
        <w:t>Приликом процене степена изграђености комуналне инфраструктуре узима се у обзир и пружање услуга здравствене заштите и уређеност и опрем</w:t>
      </w:r>
      <w:r>
        <w:rPr>
          <w:color w:val="000000"/>
        </w:rPr>
        <w:t>љеност јавних површина на подручју.</w:t>
      </w:r>
    </w:p>
    <w:p w:rsidR="003B0D8D" w:rsidRDefault="00015C3D">
      <w:pPr>
        <w:spacing w:after="150"/>
      </w:pPr>
      <w:r>
        <w:rPr>
          <w:color w:val="000000"/>
        </w:rPr>
        <w:t>Процена пружања услуга здравствене заштите на подручју врши се на основу доступности медицинској помоћи (дом здравља/амбуланта, близина болнице или лечилишта до 15 km).</w:t>
      </w:r>
    </w:p>
    <w:p w:rsidR="003B0D8D" w:rsidRDefault="00015C3D">
      <w:pPr>
        <w:spacing w:after="150"/>
      </w:pPr>
      <w:r>
        <w:rPr>
          <w:color w:val="000000"/>
        </w:rPr>
        <w:t>Уређеност и опремљеност јавних површина на подручју</w:t>
      </w:r>
      <w:r>
        <w:rPr>
          <w:color w:val="000000"/>
        </w:rPr>
        <w:t xml:space="preserve"> процењује се на основу следећих критеријума: постављене корпе за отпатке на јавним површинама, уређени средишњи тргови, одржавање зелених површина, одржавање зелених површина око локалних саобраћајница од уласка у место и у самом месту.</w:t>
      </w:r>
    </w:p>
    <w:p w:rsidR="003B0D8D" w:rsidRDefault="00015C3D">
      <w:pPr>
        <w:spacing w:after="120"/>
        <w:jc w:val="center"/>
      </w:pPr>
      <w:r>
        <w:rPr>
          <w:b/>
          <w:color w:val="000000"/>
        </w:rPr>
        <w:t>Саобраћајна инфрас</w:t>
      </w:r>
      <w:r>
        <w:rPr>
          <w:b/>
          <w:color w:val="000000"/>
        </w:rPr>
        <w:t>труктура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6.</w:t>
      </w:r>
    </w:p>
    <w:p w:rsidR="003B0D8D" w:rsidRDefault="00015C3D">
      <w:pPr>
        <w:spacing w:after="150"/>
      </w:pPr>
      <w:r>
        <w:rPr>
          <w:color w:val="000000"/>
        </w:rPr>
        <w:t>Процена степена изграђености саобраћајне инфраструктуре врши се на основу следећих критеријума: удаљеност аеродрома од подручја које се разврстава у категорију туристичког места; удаљеност спортског аеродрома од подручја које се разврстава</w:t>
      </w:r>
      <w:r>
        <w:rPr>
          <w:color w:val="000000"/>
        </w:rPr>
        <w:t xml:space="preserve"> у категорију туристичког места; удаљеност железничке станице од подручја које се разврстава у категорију туристичког места; аутобуска станица (повезаност места аутобуским линијама са другим дестинацијама); лука (за међународни саобраћај); паркинг са орган</w:t>
      </w:r>
      <w:r>
        <w:rPr>
          <w:color w:val="000000"/>
        </w:rPr>
        <w:t xml:space="preserve">изованом наплатом или гаража (обезбеђено паркирање возила на паркингу са организованом наплатом или у гаражи); станица за пуњење електричних возила; услуге такси превоза (организоване услуге такси превоза); саобраћајна сигнализација и опрема саобраћајница </w:t>
      </w:r>
      <w:r>
        <w:rPr>
          <w:color w:val="000000"/>
        </w:rPr>
        <w:t>(јасно обележени пешачки прелази, наткривена стајалишта на аутобуским станицама, одмориште уз саобраћајнице опремљено клупама); туристичка сигнализација на путевима (информативне табле, панои са плановима града/општине/насеља и другим туристичким информаци</w:t>
      </w:r>
      <w:r>
        <w:rPr>
          <w:color w:val="000000"/>
        </w:rPr>
        <w:t>јама, табле добродошлице).</w:t>
      </w:r>
    </w:p>
    <w:p w:rsidR="003B0D8D" w:rsidRDefault="00015C3D">
      <w:pPr>
        <w:spacing w:after="120"/>
        <w:jc w:val="center"/>
      </w:pPr>
      <w:r>
        <w:rPr>
          <w:b/>
          <w:color w:val="000000"/>
        </w:rPr>
        <w:t>Туристичка инфраструктура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7.</w:t>
      </w:r>
    </w:p>
    <w:p w:rsidR="003B0D8D" w:rsidRDefault="00015C3D">
      <w:pPr>
        <w:spacing w:after="150"/>
      </w:pPr>
      <w:r>
        <w:rPr>
          <w:color w:val="000000"/>
        </w:rPr>
        <w:t>Процена степена изграђености туристичке инфраструктуре врши се на основу изграђености подручја у погледу следећих врста објеката: туристички информативни центар (организовано информисање туриста,</w:t>
      </w:r>
      <w:r>
        <w:rPr>
          <w:color w:val="000000"/>
        </w:rPr>
        <w:t xml:space="preserve"> центар за прихват туриста и посетилаца); отворени и затворени објекти спортске рекреације (тениски терен, голф, мини голф, фудбалски терен, одбојкашки терен, кошаркашки терен, базен за купање, мале вештачке акумулације са купалиштем, дечје игралиште, тере</w:t>
      </w:r>
      <w:r>
        <w:rPr>
          <w:color w:val="000000"/>
        </w:rPr>
        <w:t>н за јахање, бициклистичка стаза, трим стаза, стаза здравља, стаза за моторне санке, панорамски пут); тематски и забавни парк (један или више тематских или забавних паркова); објекти наутичког туризма (уколико место на својој територији има водене површине</w:t>
      </w:r>
      <w:r>
        <w:rPr>
          <w:color w:val="000000"/>
        </w:rPr>
        <w:t>, подобне за наутички туризам); остала инфраструктура и објекти (видиковац, објекат за посматрање природних реткости, објекат за предах и краће задржавање туриста, музеј, летња позорница, пешачке стазе, објекти авантуристичке активности – банџи, параглајди</w:t>
      </w:r>
      <w:r>
        <w:rPr>
          <w:color w:val="000000"/>
        </w:rPr>
        <w:t>нг, итд.).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8.</w:t>
      </w:r>
    </w:p>
    <w:p w:rsidR="003B0D8D" w:rsidRDefault="00015C3D">
      <w:pPr>
        <w:spacing w:after="150"/>
      </w:pPr>
      <w:r>
        <w:rPr>
          <w:color w:val="000000"/>
        </w:rPr>
        <w:t>Приликом процене степена изграђености туристичке инфраструктуре узима се у обзир и природна и културна баштина, као и туристички производи подручја.</w:t>
      </w:r>
    </w:p>
    <w:p w:rsidR="003B0D8D" w:rsidRDefault="00015C3D">
      <w:pPr>
        <w:spacing w:after="150"/>
      </w:pPr>
      <w:r>
        <w:rPr>
          <w:color w:val="000000"/>
        </w:rPr>
        <w:t>Процена природне и културне баштине подручја врши се на основу следећих критеријума: при</w:t>
      </w:r>
      <w:r>
        <w:rPr>
          <w:color w:val="000000"/>
        </w:rPr>
        <w:t>родна баштина (простирање националног парка на подручју које се разврстава у категорију туристичког места, простирање парка природе на подручју које се разврстава у категорију туристичког места, посебан резерват удаљен до 70 km од подручја које се разврста</w:t>
      </w:r>
      <w:r>
        <w:rPr>
          <w:color w:val="000000"/>
        </w:rPr>
        <w:t>ва у категорију туристичког места); непокретна културна добра у функцији туризма (споменици културе, просторне културне-историјске целине, археолошка налазишта – близина до 30 km, знаменита места, локалитети и споменици под заштитом UNESKA).</w:t>
      </w:r>
    </w:p>
    <w:p w:rsidR="003B0D8D" w:rsidRDefault="00015C3D">
      <w:pPr>
        <w:spacing w:after="150"/>
      </w:pPr>
      <w:r>
        <w:rPr>
          <w:color w:val="000000"/>
        </w:rPr>
        <w:t>Процена понуде</w:t>
      </w:r>
      <w:r>
        <w:rPr>
          <w:color w:val="000000"/>
        </w:rPr>
        <w:t xml:space="preserve"> туристичких производа подручја врши се у односу на следеће туристичке производе: градски одмор </w:t>
      </w:r>
      <w:r>
        <w:rPr>
          <w:i/>
          <w:color w:val="000000"/>
        </w:rPr>
        <w:t>(„City break”)</w:t>
      </w:r>
      <w:r>
        <w:rPr>
          <w:color w:val="000000"/>
        </w:rPr>
        <w:t xml:space="preserve">; кружна путовања </w:t>
      </w:r>
      <w:r>
        <w:rPr>
          <w:i/>
          <w:color w:val="000000"/>
        </w:rPr>
        <w:t>(„Touring”)</w:t>
      </w:r>
      <w:r>
        <w:rPr>
          <w:color w:val="000000"/>
        </w:rPr>
        <w:t xml:space="preserve">; пословни туризам (капацитет до 100, 200 и 500 места); здравствени туризам </w:t>
      </w:r>
      <w:r>
        <w:rPr>
          <w:i/>
          <w:color w:val="000000"/>
        </w:rPr>
        <w:t>(„Spa/wellness”)</w:t>
      </w:r>
      <w:r>
        <w:rPr>
          <w:color w:val="000000"/>
        </w:rPr>
        <w:t xml:space="preserve"> (утврђено подручје бање,</w:t>
      </w:r>
      <w:r>
        <w:rPr>
          <w:color w:val="000000"/>
        </w:rPr>
        <w:t xml:space="preserve"> пружање услуга здравственог туризма); планине (уређене ски стаза/спасилачке екипе, сертификат ФИС-а, могућност вештачког оснежавања); језера и реке (тушеви/тоалети, кабине за пресвлачење, спасилачка служба, скакаоница, тобоган, одбојка на песку, сунцобран</w:t>
      </w:r>
      <w:r>
        <w:rPr>
          <w:color w:val="000000"/>
        </w:rPr>
        <w:t xml:space="preserve">и, лежаљке, педалине и др, прилаз за инвалиде, корпе за отпатке; наутика (могућност коришћења индивидуалних пловила, крстарење – организоване бродске туре-крузинг); догађаји </w:t>
      </w:r>
      <w:r>
        <w:rPr>
          <w:i/>
          <w:color w:val="000000"/>
        </w:rPr>
        <w:t>(„Events”)</w:t>
      </w:r>
      <w:r>
        <w:rPr>
          <w:color w:val="000000"/>
        </w:rPr>
        <w:t xml:space="preserve"> (манифестација/догађај са преко 100.000 посетилаца, манифестација/догађ</w:t>
      </w:r>
      <w:r>
        <w:rPr>
          <w:color w:val="000000"/>
        </w:rPr>
        <w:t>ај са преко 50.000 посетилаца, манифестација/догађај са преко 10.000 посетилаца, манифестација/догађај са преко 5.000 посетилаца, манифестација/догађај са преко 2.000 посетилаца); рурални туризам и специјални интереси (винске туре, пешачење, бициклизам, ло</w:t>
      </w:r>
      <w:r>
        <w:rPr>
          <w:color w:val="000000"/>
        </w:rPr>
        <w:t>в, риболов, коњички спортови, еко лов, рафтинг, сплаварење).</w:t>
      </w:r>
    </w:p>
    <w:p w:rsidR="003B0D8D" w:rsidRDefault="00015C3D">
      <w:pPr>
        <w:spacing w:after="120"/>
        <w:jc w:val="center"/>
      </w:pPr>
      <w:r>
        <w:rPr>
          <w:b/>
          <w:color w:val="000000"/>
        </w:rPr>
        <w:t>Туристичка супраструктура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9.</w:t>
      </w:r>
    </w:p>
    <w:p w:rsidR="003B0D8D" w:rsidRDefault="00015C3D">
      <w:pPr>
        <w:spacing w:after="150"/>
      </w:pPr>
      <w:r>
        <w:rPr>
          <w:color w:val="000000"/>
        </w:rPr>
        <w:t>Процена степена изграђености туристичке супраструктуре врши се на основу изграђености подручја у погледу следећих врста категорисаних угоститељских објеката: хот</w:t>
      </w:r>
      <w:r>
        <w:rPr>
          <w:color w:val="000000"/>
        </w:rPr>
        <w:t>ел; мотел; пансион; туристичко насеље; кампинг; кућа; апартман; соба; сеоско туристичко домаћинство; ловачка вила; марина и у погледу следећих врста угоститељских објеката који се не категоришу: хостел; коначиште/преноћиште; ресторан/кафана, бар, кафе и др</w:t>
      </w:r>
      <w:r>
        <w:rPr>
          <w:color w:val="000000"/>
        </w:rPr>
        <w:t>уго; кетеринг објекат; кампиралиште/камп стоп; ловачка колиба/ловачка кућа/ловачки дом; објекти наутичког туризма.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10.</w:t>
      </w:r>
    </w:p>
    <w:p w:rsidR="003B0D8D" w:rsidRDefault="00015C3D">
      <w:pPr>
        <w:spacing w:after="150"/>
      </w:pPr>
      <w:r>
        <w:rPr>
          <w:color w:val="000000"/>
        </w:rPr>
        <w:t xml:space="preserve">Процена квалитативних критеријума у погледу комуналне, саобраћајне и туристичке инфраструктуре, врши се према вредностима наведеним </w:t>
      </w:r>
      <w:r>
        <w:rPr>
          <w:color w:val="000000"/>
        </w:rPr>
        <w:t>у Табели број 2 – Квалитативни критеријуми за разврставање у категорију туристичког места у погледу комуналне, саобраћајне и туристичке инфраструктуре, која је одштампана уз овај правилник и чини његов саставни део.</w:t>
      </w:r>
    </w:p>
    <w:p w:rsidR="003B0D8D" w:rsidRDefault="00015C3D">
      <w:pPr>
        <w:spacing w:after="150"/>
      </w:pPr>
      <w:r>
        <w:rPr>
          <w:color w:val="000000"/>
        </w:rPr>
        <w:t>Процена квалитативних критеријума у погл</w:t>
      </w:r>
      <w:r>
        <w:rPr>
          <w:color w:val="000000"/>
        </w:rPr>
        <w:t>еду туристичке супраструктуре врши се према вредностима наведеним у Табели број 3 – Квалитативни критеријуми за разврставање у категорију туристичког места у погледу туристичке супраструктуре, која је одштампана уз овај правилник и чини његов саставни део.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11.</w:t>
      </w:r>
    </w:p>
    <w:p w:rsidR="003B0D8D" w:rsidRDefault="00015C3D">
      <w:pPr>
        <w:spacing w:after="150"/>
      </w:pPr>
      <w:r>
        <w:rPr>
          <w:color w:val="000000"/>
        </w:rPr>
        <w:t>На основу квалитативних критеријума из чл. 5–9. овог правилника подручје се разврстава на следећи начин:</w:t>
      </w:r>
    </w:p>
    <w:p w:rsidR="003B0D8D" w:rsidRDefault="00015C3D">
      <w:pPr>
        <w:spacing w:after="150"/>
      </w:pPr>
      <w:r>
        <w:rPr>
          <w:color w:val="000000"/>
        </w:rPr>
        <w:t>1) у групу I ако испуњава обавезне елементе за ову категорију означене знаком „М” и има најмање 70 бодова по основу изборних елемената,</w:t>
      </w:r>
    </w:p>
    <w:p w:rsidR="003B0D8D" w:rsidRDefault="00015C3D">
      <w:pPr>
        <w:spacing w:after="150"/>
      </w:pPr>
      <w:r>
        <w:rPr>
          <w:color w:val="000000"/>
        </w:rPr>
        <w:t xml:space="preserve">2) у </w:t>
      </w:r>
      <w:r>
        <w:rPr>
          <w:color w:val="000000"/>
        </w:rPr>
        <w:t>групу II ако испуњава обавезне елементе за ову категорију означене знаком „М” и има најмање 58 бодова по основу изборних елемената,</w:t>
      </w:r>
    </w:p>
    <w:p w:rsidR="003B0D8D" w:rsidRDefault="00015C3D">
      <w:pPr>
        <w:spacing w:after="150"/>
      </w:pPr>
      <w:r>
        <w:rPr>
          <w:color w:val="000000"/>
        </w:rPr>
        <w:t>3) у групу III ако испуњава обавезне елементе за ову категорију означене знаком „М” и има најмање 48 бодова по основу изборн</w:t>
      </w:r>
      <w:r>
        <w:rPr>
          <w:color w:val="000000"/>
        </w:rPr>
        <w:t>их елемената,</w:t>
      </w:r>
    </w:p>
    <w:p w:rsidR="003B0D8D" w:rsidRDefault="00015C3D">
      <w:pPr>
        <w:spacing w:after="150"/>
      </w:pPr>
      <w:r>
        <w:rPr>
          <w:color w:val="000000"/>
        </w:rPr>
        <w:t>4) у групу IV ако испуњава обавезне елементе за ову категорију означене знаком „М” и има најмање 38 бодова по основу изборних елемената.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12.</w:t>
      </w:r>
    </w:p>
    <w:p w:rsidR="003B0D8D" w:rsidRDefault="00015C3D">
      <w:pPr>
        <w:spacing w:after="150"/>
      </w:pPr>
      <w:r>
        <w:rPr>
          <w:color w:val="000000"/>
        </w:rPr>
        <w:t xml:space="preserve">Категорија туристичког места означава се у складу са законом којим се уређује туризам, на </w:t>
      </w:r>
      <w:r>
        <w:rPr>
          <w:color w:val="000000"/>
        </w:rPr>
        <w:t>следећи начин:</w:t>
      </w:r>
    </w:p>
    <w:p w:rsidR="003B0D8D" w:rsidRDefault="00015C3D">
      <w:pPr>
        <w:spacing w:after="150"/>
      </w:pPr>
      <w:r>
        <w:rPr>
          <w:color w:val="000000"/>
        </w:rPr>
        <w:t>1) категорија означена римским бројем I;</w:t>
      </w:r>
    </w:p>
    <w:p w:rsidR="003B0D8D" w:rsidRDefault="00015C3D">
      <w:pPr>
        <w:spacing w:after="150"/>
      </w:pPr>
      <w:r>
        <w:rPr>
          <w:color w:val="000000"/>
        </w:rPr>
        <w:t>2) категорија означена римским бројем II;</w:t>
      </w:r>
    </w:p>
    <w:p w:rsidR="003B0D8D" w:rsidRDefault="00015C3D">
      <w:pPr>
        <w:spacing w:after="150"/>
      </w:pPr>
      <w:r>
        <w:rPr>
          <w:color w:val="000000"/>
        </w:rPr>
        <w:t>3) категорија означена римским бројем III;</w:t>
      </w:r>
    </w:p>
    <w:p w:rsidR="003B0D8D" w:rsidRDefault="00015C3D">
      <w:pPr>
        <w:spacing w:after="150"/>
      </w:pPr>
      <w:r>
        <w:rPr>
          <w:color w:val="000000"/>
        </w:rPr>
        <w:t>4) категорија означена римским бројем IV.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13.</w:t>
      </w:r>
    </w:p>
    <w:p w:rsidR="003B0D8D" w:rsidRDefault="00015C3D">
      <w:pPr>
        <w:spacing w:after="150"/>
      </w:pPr>
      <w:r>
        <w:rPr>
          <w:color w:val="000000"/>
        </w:rPr>
        <w:t>Подручја се разврставају у категорије туристичког места према кв</w:t>
      </w:r>
      <w:r>
        <w:rPr>
          <w:color w:val="000000"/>
        </w:rPr>
        <w:t>алитативним и квантитативним критеријумима на следећи начин: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156"/>
        <w:gridCol w:w="3088"/>
        <w:gridCol w:w="2884"/>
      </w:tblGrid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Група према квантитативним критеријумима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Група према квалитативним критеријумима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Категорија туристичког места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</w:tr>
    </w:tbl>
    <w:p w:rsidR="003B0D8D" w:rsidRDefault="00015C3D">
      <w:pPr>
        <w:spacing w:after="120"/>
        <w:jc w:val="center"/>
      </w:pPr>
      <w:r>
        <w:rPr>
          <w:color w:val="000000"/>
        </w:rPr>
        <w:t>Члан 14.</w:t>
      </w:r>
    </w:p>
    <w:p w:rsidR="003B0D8D" w:rsidRDefault="00015C3D">
      <w:pPr>
        <w:spacing w:after="150"/>
      </w:pPr>
      <w:r>
        <w:rPr>
          <w:color w:val="000000"/>
        </w:rPr>
        <w:t xml:space="preserve">Захтев за одређивање категорије туристичког места подноси јединица локалне самоуправе и то за подручје насељеног места, дела територије или целокупне територије на </w:t>
      </w:r>
      <w:r>
        <w:rPr>
          <w:color w:val="000000"/>
        </w:rPr>
        <w:t>којој се простире јединица локалне самоуправе, у складу са законом којим се уређује туризам.</w:t>
      </w:r>
    </w:p>
    <w:p w:rsidR="003B0D8D" w:rsidRDefault="00015C3D">
      <w:pPr>
        <w:spacing w:after="150"/>
      </w:pPr>
      <w:r>
        <w:rPr>
          <w:color w:val="000000"/>
        </w:rPr>
        <w:t>Захтев за одређивање категорије туристичког места могу заједнички поднети и две или више јединице локалне самоуправе.</w:t>
      </w:r>
    </w:p>
    <w:p w:rsidR="003B0D8D" w:rsidRDefault="00015C3D">
      <w:pPr>
        <w:spacing w:after="150"/>
      </w:pPr>
      <w:r>
        <w:rPr>
          <w:color w:val="000000"/>
        </w:rPr>
        <w:t>Захтев садржи: назив и адресу подносиоца захт</w:t>
      </w:r>
      <w:r>
        <w:rPr>
          <w:color w:val="000000"/>
        </w:rPr>
        <w:t>ева, опис граница туристичког места, податке о квантитативним и квалитативним критеријумима на основу којих се врши разврставање у категорију туристичког места, у складу са овим правилником, доказе о испуњености квантитативних и квалитативних критеријума и</w:t>
      </w:r>
      <w:r>
        <w:rPr>
          <w:color w:val="000000"/>
        </w:rPr>
        <w:t xml:space="preserve"> остале податке о туристичком месту који се евидентирају у Регистру туризма.</w:t>
      </w:r>
    </w:p>
    <w:p w:rsidR="003B0D8D" w:rsidRDefault="00015C3D">
      <w:pPr>
        <w:spacing w:after="150"/>
      </w:pPr>
      <w:r>
        <w:rPr>
          <w:color w:val="000000"/>
        </w:rPr>
        <w:t>Докази из става 3. овог члана не могу бити старији од годину дана.</w:t>
      </w:r>
    </w:p>
    <w:p w:rsidR="003B0D8D" w:rsidRDefault="00015C3D">
      <w:pPr>
        <w:spacing w:after="150"/>
      </w:pPr>
      <w:r>
        <w:rPr>
          <w:color w:val="000000"/>
        </w:rPr>
        <w:t xml:space="preserve">У случају поновног одређивања категорије јединица локалне самоуправе подноси захтев 60 дана пре истека решења o </w:t>
      </w:r>
      <w:r>
        <w:rPr>
          <w:color w:val="000000"/>
        </w:rPr>
        <w:t>категоризацији туристичког места.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15.</w:t>
      </w:r>
    </w:p>
    <w:p w:rsidR="003B0D8D" w:rsidRDefault="00015C3D">
      <w:pPr>
        <w:spacing w:after="150"/>
      </w:pPr>
      <w:r>
        <w:rPr>
          <w:color w:val="000000"/>
        </w:rPr>
        <w:t>Комисија за категоризацију туристичких места, која се образује у складу са законом којим се уређује туризам, припрема предлог за разврставање туристичког места у одговарајућу категорију у форми записника.</w:t>
      </w:r>
    </w:p>
    <w:p w:rsidR="003B0D8D" w:rsidRDefault="00015C3D">
      <w:pPr>
        <w:spacing w:after="150"/>
      </w:pPr>
      <w:r>
        <w:rPr>
          <w:color w:val="000000"/>
        </w:rPr>
        <w:t>Записник</w:t>
      </w:r>
      <w:r>
        <w:rPr>
          <w:color w:val="000000"/>
        </w:rPr>
        <w:t xml:space="preserve"> садржи:</w:t>
      </w:r>
    </w:p>
    <w:p w:rsidR="003B0D8D" w:rsidRDefault="00015C3D">
      <w:pPr>
        <w:spacing w:after="150"/>
      </w:pPr>
      <w:r>
        <w:rPr>
          <w:color w:val="000000"/>
        </w:rPr>
        <w:t>1) основне податке о подносиоцу захтева и туристичком месту;</w:t>
      </w:r>
    </w:p>
    <w:p w:rsidR="003B0D8D" w:rsidRDefault="00015C3D">
      <w:pPr>
        <w:spacing w:after="150"/>
      </w:pPr>
      <w:r>
        <w:rPr>
          <w:color w:val="000000"/>
        </w:rPr>
        <w:t>2) податке о испуњености услова за одговарајућу категорију туристичког места;</w:t>
      </w:r>
    </w:p>
    <w:p w:rsidR="003B0D8D" w:rsidRDefault="00015C3D">
      <w:pPr>
        <w:spacing w:after="150"/>
      </w:pPr>
      <w:r>
        <w:rPr>
          <w:color w:val="000000"/>
        </w:rPr>
        <w:t>3) предлог Комисије за категоризацију туристичког места.</w:t>
      </w:r>
    </w:p>
    <w:p w:rsidR="003B0D8D" w:rsidRDefault="00015C3D">
      <w:pPr>
        <w:spacing w:after="150"/>
      </w:pPr>
      <w:r>
        <w:rPr>
          <w:color w:val="000000"/>
        </w:rPr>
        <w:t>Комисија за категоризацију туристичког места провер</w:t>
      </w:r>
      <w:r>
        <w:rPr>
          <w:color w:val="000000"/>
        </w:rPr>
        <w:t>ава квалитативне критеријуме на лицу места.</w:t>
      </w:r>
    </w:p>
    <w:p w:rsidR="003B0D8D" w:rsidRDefault="00015C3D">
      <w:pPr>
        <w:spacing w:after="150"/>
      </w:pPr>
      <w:r>
        <w:rPr>
          <w:color w:val="000000"/>
        </w:rPr>
        <w:t>Решење о одређивању категорије туристичког места доставља се Регистру туризма ради евидентирања.</w:t>
      </w:r>
    </w:p>
    <w:p w:rsidR="003B0D8D" w:rsidRDefault="00015C3D">
      <w:pPr>
        <w:spacing w:after="120"/>
        <w:jc w:val="center"/>
      </w:pPr>
      <w:r>
        <w:rPr>
          <w:b/>
          <w:color w:val="000000"/>
        </w:rPr>
        <w:t>Промена категорије туристичког места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16.</w:t>
      </w:r>
    </w:p>
    <w:p w:rsidR="003B0D8D" w:rsidRDefault="00015C3D">
      <w:pPr>
        <w:spacing w:after="150"/>
      </w:pPr>
      <w:r>
        <w:rPr>
          <w:color w:val="000000"/>
        </w:rPr>
        <w:t xml:space="preserve">Ако у току периода за који је издато решење о одређивању категорије </w:t>
      </w:r>
      <w:r>
        <w:rPr>
          <w:color w:val="000000"/>
        </w:rPr>
        <w:t>туристичког места, туристичко место испуни услове за вишу категорију од категорије која му је одређена, на захтев јединице локалне самоуправе може се променити категорија туристичког места.</w:t>
      </w:r>
    </w:p>
    <w:p w:rsidR="003B0D8D" w:rsidRDefault="00015C3D">
      <w:pPr>
        <w:spacing w:after="150"/>
      </w:pPr>
      <w:r>
        <w:rPr>
          <w:color w:val="000000"/>
        </w:rPr>
        <w:t>Промена категорије туристичког места врши се по истом поступку и н</w:t>
      </w:r>
      <w:r>
        <w:rPr>
          <w:color w:val="000000"/>
        </w:rPr>
        <w:t>а исти начин који се примењују за њено одређивање.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17.</w:t>
      </w:r>
    </w:p>
    <w:p w:rsidR="003B0D8D" w:rsidRDefault="00015C3D">
      <w:pPr>
        <w:spacing w:after="150"/>
      </w:pPr>
      <w:r>
        <w:rPr>
          <w:color w:val="000000"/>
        </w:rPr>
        <w:t>У оквиру Регистра туризма евидентирају се следећи подаци о туристичком месту:</w:t>
      </w:r>
    </w:p>
    <w:p w:rsidR="003B0D8D" w:rsidRDefault="00015C3D">
      <w:pPr>
        <w:spacing w:after="150"/>
      </w:pPr>
      <w:r>
        <w:rPr>
          <w:color w:val="000000"/>
        </w:rPr>
        <w:t>1) категорија туристичког места;</w:t>
      </w:r>
    </w:p>
    <w:p w:rsidR="003B0D8D" w:rsidRDefault="00015C3D">
      <w:pPr>
        <w:spacing w:after="150"/>
      </w:pPr>
      <w:r>
        <w:rPr>
          <w:color w:val="000000"/>
        </w:rPr>
        <w:t>2) општи подаци о туристичком месту (опис граница и површина туристичког места у km</w:t>
      </w:r>
      <w:r>
        <w:rPr>
          <w:color w:val="000000"/>
          <w:vertAlign w:val="superscript"/>
        </w:rPr>
        <w:t>2</w:t>
      </w:r>
      <w:r>
        <w:rPr>
          <w:color w:val="000000"/>
        </w:rPr>
        <w:t>,</w:t>
      </w:r>
      <w:r>
        <w:rPr>
          <w:color w:val="000000"/>
        </w:rPr>
        <w:t xml:space="preserve"> број становника туристичког места, број запослених туристичког места, број запослених у туризму туристичког места);</w:t>
      </w:r>
    </w:p>
    <w:p w:rsidR="003B0D8D" w:rsidRDefault="00015C3D">
      <w:pPr>
        <w:spacing w:after="150"/>
      </w:pPr>
      <w:r>
        <w:rPr>
          <w:color w:val="000000"/>
        </w:rPr>
        <w:t>3) подаци о туристичком промету у туристичком месту (број долазака туриста, број ноћења туриста у угоститељским објектима за смештај);</w:t>
      </w:r>
    </w:p>
    <w:p w:rsidR="003B0D8D" w:rsidRDefault="00015C3D">
      <w:pPr>
        <w:spacing w:after="150"/>
      </w:pPr>
      <w:r>
        <w:rPr>
          <w:color w:val="000000"/>
        </w:rPr>
        <w:t>4) п</w:t>
      </w:r>
      <w:r>
        <w:rPr>
          <w:color w:val="000000"/>
        </w:rPr>
        <w:t xml:space="preserve">одаци о туристичкој супраструктури туристичког места: угоститељски објекти за смештај (број и врста), смештајне јединице у угоститељским објектима за смештај – собе и апартмани (број и врста) и то по врстама објеката и укупно, број лежаја (кревета), као и </w:t>
      </w:r>
      <w:r>
        <w:rPr>
          <w:color w:val="000000"/>
        </w:rPr>
        <w:t>укупан број индивидуалних лежаја у угоститељским објектима за смештај, (по врсти објеката, врсти смештајних јединица и укупно), број седећих места у угоститељским објектима за исхрану и пиће (по врсти објеката и укупно);</w:t>
      </w:r>
    </w:p>
    <w:p w:rsidR="003B0D8D" w:rsidRDefault="00015C3D">
      <w:pPr>
        <w:spacing w:after="150"/>
      </w:pPr>
      <w:r>
        <w:rPr>
          <w:color w:val="000000"/>
        </w:rPr>
        <w:t>5) расположиви подаци о туристичким</w:t>
      </w:r>
      <w:r>
        <w:rPr>
          <w:color w:val="000000"/>
        </w:rPr>
        <w:t xml:space="preserve"> ресурсима наведени у захтеву за одређивање категорије туристичког места, и то: подаци о комуналној, саобраћајној и туристичкој инфраструктури и остали расположиви подаци о туристичкој супраструктури туристичког места.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18.</w:t>
      </w:r>
    </w:p>
    <w:p w:rsidR="003B0D8D" w:rsidRDefault="00015C3D">
      <w:pPr>
        <w:spacing w:after="150"/>
      </w:pPr>
      <w:r>
        <w:rPr>
          <w:color w:val="000000"/>
        </w:rPr>
        <w:t>Поступци који су започети до</w:t>
      </w:r>
      <w:r>
        <w:rPr>
          <w:color w:val="000000"/>
        </w:rPr>
        <w:t xml:space="preserve"> дана ступању на снагу овог правилника окончаће се по одредбама правилника који је био на снази до дана ступања на снагу овог правилника.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19.</w:t>
      </w:r>
    </w:p>
    <w:p w:rsidR="003B0D8D" w:rsidRDefault="00015C3D">
      <w:pPr>
        <w:spacing w:after="150"/>
      </w:pPr>
      <w:r>
        <w:rPr>
          <w:color w:val="000000"/>
        </w:rPr>
        <w:t>Даном ступања на снагу овог правилника престаје да важи Правилник о категоризацији туристичких места („Службе</w:t>
      </w:r>
      <w:r>
        <w:rPr>
          <w:color w:val="000000"/>
        </w:rPr>
        <w:t>ни гласник РС”, бр. 24/12, 31/12 – испрaвка и 102/15).</w:t>
      </w:r>
    </w:p>
    <w:p w:rsidR="003B0D8D" w:rsidRDefault="00015C3D">
      <w:pPr>
        <w:spacing w:after="120"/>
        <w:jc w:val="center"/>
      </w:pPr>
      <w:r>
        <w:rPr>
          <w:color w:val="000000"/>
        </w:rPr>
        <w:t>Члан 20.</w:t>
      </w:r>
    </w:p>
    <w:p w:rsidR="003B0D8D" w:rsidRDefault="00015C3D">
      <w:pPr>
        <w:spacing w:after="150"/>
      </w:pPr>
      <w:r>
        <w:rPr>
          <w:color w:val="000000"/>
        </w:rPr>
        <w:t>Овај правилник ступа на снагу осмог дана од дана објављивања у „Службеном гласнику Републике Србије”, осим одредаба члана 3. став 3. овог правилника, које се примењују од 1. фебруара 2024. год</w:t>
      </w:r>
      <w:r>
        <w:rPr>
          <w:color w:val="000000"/>
        </w:rPr>
        <w:t>ине.</w:t>
      </w:r>
    </w:p>
    <w:p w:rsidR="003B0D8D" w:rsidRDefault="00015C3D">
      <w:pPr>
        <w:spacing w:after="150"/>
        <w:jc w:val="right"/>
      </w:pPr>
      <w:r>
        <w:rPr>
          <w:color w:val="000000"/>
        </w:rPr>
        <w:t>Број 110-00-9/2022-08</w:t>
      </w:r>
    </w:p>
    <w:p w:rsidR="003B0D8D" w:rsidRDefault="00015C3D">
      <w:pPr>
        <w:spacing w:after="150"/>
        <w:jc w:val="right"/>
      </w:pPr>
      <w:r>
        <w:rPr>
          <w:color w:val="000000"/>
        </w:rPr>
        <w:t>У Београду, 11. марта 2022. године</w:t>
      </w:r>
    </w:p>
    <w:p w:rsidR="003B0D8D" w:rsidRDefault="00015C3D">
      <w:pPr>
        <w:spacing w:after="150"/>
        <w:jc w:val="right"/>
      </w:pPr>
      <w:r>
        <w:rPr>
          <w:color w:val="000000"/>
        </w:rPr>
        <w:t>Министар,</w:t>
      </w:r>
    </w:p>
    <w:p w:rsidR="003B0D8D" w:rsidRDefault="00015C3D">
      <w:pPr>
        <w:spacing w:after="150"/>
        <w:jc w:val="right"/>
      </w:pPr>
      <w:r>
        <w:rPr>
          <w:b/>
          <w:color w:val="000000"/>
        </w:rPr>
        <w:t>Татјана Матић,</w:t>
      </w:r>
      <w:r>
        <w:rPr>
          <w:color w:val="000000"/>
        </w:rPr>
        <w:t xml:space="preserve"> с.р.</w:t>
      </w:r>
    </w:p>
    <w:p w:rsidR="003B0D8D" w:rsidRDefault="00015C3D">
      <w:pPr>
        <w:spacing w:after="120"/>
        <w:jc w:val="center"/>
      </w:pPr>
      <w:r>
        <w:rPr>
          <w:b/>
          <w:color w:val="000000"/>
        </w:rPr>
        <w:t>Табела број 1 – ОБИМ ТУРИСТИЧКОГ ПРОМЕТА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33"/>
        <w:gridCol w:w="714"/>
        <w:gridCol w:w="2241"/>
        <w:gridCol w:w="1105"/>
        <w:gridCol w:w="1043"/>
        <w:gridCol w:w="759"/>
        <w:gridCol w:w="599"/>
        <w:gridCol w:w="567"/>
        <w:gridCol w:w="567"/>
      </w:tblGrid>
      <w:tr w:rsidR="003B0D8D">
        <w:trPr>
          <w:trHeight w:val="45"/>
          <w:tblCellSpacing w:w="0" w:type="auto"/>
        </w:trPr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Критеријум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Број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Облици туристичког промета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Удео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Бодови</w:t>
            </w:r>
          </w:p>
        </w:tc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III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IV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Туристички промет</w:t>
            </w:r>
          </w:p>
        </w:tc>
        <w:tc>
          <w:tcPr>
            <w:tcW w:w="5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3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Доласци туриста:</w:t>
            </w:r>
            <w:r>
              <w:br/>
            </w:r>
            <w:r>
              <w:rPr>
                <w:color w:val="000000"/>
              </w:rPr>
              <w:t xml:space="preserve">туристичко </w:t>
            </w:r>
            <w:r>
              <w:rPr>
                <w:color w:val="000000"/>
              </w:rPr>
              <w:t>место/Република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преко 5%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5</w:t>
            </w:r>
          </w:p>
        </w:tc>
        <w:tc>
          <w:tcPr>
            <w:tcW w:w="20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3,5–5%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2–3,4%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1–1,9%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0,2–0,9%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5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3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Ноћења туриста у угоститељским објектима за смештај: туристичко место/Република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преко 5%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3,5–5%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2–3,4%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1–1,9%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0,2–0,9%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5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3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Ноћења туриста у угоститељским објектима за смештај у току године у односу на број становника подручја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преко 400%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100–399%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50–99%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30–49%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10–29%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D8D" w:rsidRDefault="003B0D8D"/>
        </w:tc>
      </w:tr>
      <w:tr w:rsidR="003B0D8D">
        <w:trPr>
          <w:trHeight w:val="45"/>
          <w:tblCellSpacing w:w="0" w:type="auto"/>
        </w:trPr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Укупно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 </w:t>
            </w:r>
          </w:p>
        </w:tc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12–15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9–11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5–8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0D8D" w:rsidRDefault="00015C3D">
            <w:pPr>
              <w:spacing w:after="150"/>
            </w:pPr>
            <w:r>
              <w:rPr>
                <w:color w:val="000000"/>
              </w:rPr>
              <w:t>1–4</w:t>
            </w:r>
          </w:p>
        </w:tc>
      </w:tr>
    </w:tbl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8D" w:rsidRDefault="00015C3D">
      <w:pPr>
        <w:spacing w:after="150"/>
      </w:pPr>
      <w:r>
        <w:rPr>
          <w:noProof/>
          <w:lang w:val="sr-Latn-RS" w:eastAsia="sr-Latn-RS"/>
        </w:rPr>
        <w:drawing>
          <wp:inline distT="0" distB="0" distL="0" distR="0">
            <wp:extent cx="5732145" cy="40724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D8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8D"/>
    <w:rsid w:val="00015C3D"/>
    <w:rsid w:val="003B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6E340B-CAB8-4A31-9C51-D3DFA778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www.pravno-informacioni-sistem.r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 K</dc:creator>
  <cp:lastModifiedBy>Danijela K</cp:lastModifiedBy>
  <cp:revision>2</cp:revision>
  <dcterms:created xsi:type="dcterms:W3CDTF">2022-03-28T06:33:00Z</dcterms:created>
  <dcterms:modified xsi:type="dcterms:W3CDTF">2022-03-28T06:33:00Z</dcterms:modified>
</cp:coreProperties>
</file>